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F1C6" w14:textId="163DE34D" w:rsidR="008F1654" w:rsidRPr="002460DA" w:rsidRDefault="00CB56FB" w:rsidP="002B29A9">
      <w:pPr>
        <w:jc w:val="center"/>
        <w:rPr>
          <w:rFonts w:cstheme="minorHAnsi"/>
          <w:b/>
          <w:sz w:val="24"/>
          <w:szCs w:val="24"/>
          <w:u w:val="single"/>
        </w:rPr>
      </w:pPr>
      <w:r w:rsidRPr="002460DA">
        <w:rPr>
          <w:noProof/>
          <w:sz w:val="24"/>
          <w:szCs w:val="24"/>
          <w:lang w:eastAsia="en-AU"/>
        </w:rPr>
        <w:drawing>
          <wp:inline distT="0" distB="0" distL="0" distR="0" wp14:anchorId="5F45B858" wp14:editId="10BDEABA">
            <wp:extent cx="1722755" cy="95337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753558" cy="970416"/>
                    </a:xfrm>
                    <a:prstGeom prst="rect">
                      <a:avLst/>
                    </a:prstGeom>
                  </pic:spPr>
                </pic:pic>
              </a:graphicData>
            </a:graphic>
          </wp:inline>
        </w:drawing>
      </w:r>
    </w:p>
    <w:p w14:paraId="38E08574" w14:textId="521D1551" w:rsidR="002B29A9" w:rsidRPr="002460DA" w:rsidRDefault="002B29A9" w:rsidP="002B29A9">
      <w:pPr>
        <w:jc w:val="center"/>
        <w:rPr>
          <w:rFonts w:cstheme="minorHAnsi"/>
          <w:b/>
          <w:sz w:val="24"/>
          <w:szCs w:val="24"/>
          <w:u w:val="single"/>
        </w:rPr>
      </w:pPr>
      <w:r w:rsidRPr="002460DA">
        <w:rPr>
          <w:rFonts w:cstheme="minorHAnsi"/>
          <w:b/>
          <w:sz w:val="24"/>
          <w:szCs w:val="24"/>
          <w:u w:val="single"/>
        </w:rPr>
        <w:t xml:space="preserve">Independent Veterinary Pathology Post-Mortem </w:t>
      </w:r>
      <w:r w:rsidR="009128E3" w:rsidRPr="002460DA">
        <w:rPr>
          <w:rFonts w:cstheme="minorHAnsi"/>
          <w:b/>
          <w:sz w:val="24"/>
          <w:szCs w:val="24"/>
          <w:u w:val="single"/>
        </w:rPr>
        <w:t>Tips</w:t>
      </w:r>
    </w:p>
    <w:p w14:paraId="79EC686D" w14:textId="03FB05FA" w:rsidR="00232460" w:rsidRPr="002460DA" w:rsidRDefault="00B25E9F">
      <w:pPr>
        <w:rPr>
          <w:rFonts w:cstheme="minorHAnsi"/>
          <w:sz w:val="24"/>
          <w:szCs w:val="24"/>
        </w:rPr>
      </w:pPr>
      <w:r w:rsidRPr="002460DA">
        <w:rPr>
          <w:rFonts w:cstheme="minorHAnsi"/>
          <w:sz w:val="24"/>
          <w:szCs w:val="24"/>
        </w:rPr>
        <w:t>For submission of post-mortem (or necropsy) samples, it is i</w:t>
      </w:r>
      <w:r w:rsidR="00992937" w:rsidRPr="002460DA">
        <w:rPr>
          <w:rFonts w:cstheme="minorHAnsi"/>
          <w:sz w:val="24"/>
          <w:szCs w:val="24"/>
        </w:rPr>
        <w:t xml:space="preserve">mportant to </w:t>
      </w:r>
      <w:r w:rsidRPr="002460DA">
        <w:rPr>
          <w:rFonts w:cstheme="minorHAnsi"/>
          <w:sz w:val="24"/>
          <w:szCs w:val="24"/>
        </w:rPr>
        <w:t xml:space="preserve">provide a </w:t>
      </w:r>
      <w:r w:rsidR="00992937" w:rsidRPr="002460DA">
        <w:rPr>
          <w:rFonts w:cstheme="minorHAnsi"/>
          <w:sz w:val="24"/>
          <w:szCs w:val="24"/>
        </w:rPr>
        <w:t xml:space="preserve">whole picture of the case to </w:t>
      </w:r>
      <w:r w:rsidRPr="002460DA">
        <w:rPr>
          <w:rFonts w:cstheme="minorHAnsi"/>
          <w:sz w:val="24"/>
          <w:szCs w:val="24"/>
        </w:rPr>
        <w:t xml:space="preserve">get the best possible </w:t>
      </w:r>
      <w:r w:rsidR="00992937" w:rsidRPr="002460DA">
        <w:rPr>
          <w:rFonts w:cstheme="minorHAnsi"/>
          <w:sz w:val="24"/>
          <w:szCs w:val="24"/>
        </w:rPr>
        <w:t>interpret</w:t>
      </w:r>
      <w:r w:rsidRPr="002460DA">
        <w:rPr>
          <w:rFonts w:cstheme="minorHAnsi"/>
          <w:sz w:val="24"/>
          <w:szCs w:val="24"/>
        </w:rPr>
        <w:t xml:space="preserve">ation of your samples. This includes animal signalment, clinical </w:t>
      </w:r>
      <w:r w:rsidR="00992937" w:rsidRPr="002460DA">
        <w:rPr>
          <w:rFonts w:cstheme="minorHAnsi"/>
          <w:sz w:val="24"/>
          <w:szCs w:val="24"/>
        </w:rPr>
        <w:t>history</w:t>
      </w:r>
      <w:r w:rsidRPr="002460DA">
        <w:rPr>
          <w:rFonts w:cstheme="minorHAnsi"/>
          <w:sz w:val="24"/>
          <w:szCs w:val="24"/>
        </w:rPr>
        <w:t xml:space="preserve"> (emailed if long/complicated)</w:t>
      </w:r>
      <w:r w:rsidR="00992937" w:rsidRPr="002460DA">
        <w:rPr>
          <w:rFonts w:cstheme="minorHAnsi"/>
          <w:sz w:val="24"/>
          <w:szCs w:val="24"/>
        </w:rPr>
        <w:t>,</w:t>
      </w:r>
      <w:r w:rsidRPr="002460DA">
        <w:rPr>
          <w:rFonts w:cstheme="minorHAnsi"/>
          <w:sz w:val="24"/>
          <w:szCs w:val="24"/>
        </w:rPr>
        <w:t xml:space="preserve"> </w:t>
      </w:r>
      <w:r w:rsidR="00992937" w:rsidRPr="002460DA">
        <w:rPr>
          <w:rFonts w:cstheme="minorHAnsi"/>
          <w:sz w:val="24"/>
          <w:szCs w:val="24"/>
        </w:rPr>
        <w:t xml:space="preserve">gross findings </w:t>
      </w:r>
      <w:r w:rsidRPr="002460DA">
        <w:rPr>
          <w:rFonts w:cstheme="minorHAnsi"/>
          <w:sz w:val="24"/>
          <w:szCs w:val="24"/>
        </w:rPr>
        <w:t>from the post mortem</w:t>
      </w:r>
      <w:r w:rsidR="009B2CB3" w:rsidRPr="002460DA">
        <w:rPr>
          <w:rFonts w:cstheme="minorHAnsi"/>
          <w:sz w:val="24"/>
          <w:szCs w:val="24"/>
        </w:rPr>
        <w:t xml:space="preserve"> (see our ‘gross examination’ form on our website) as well as photographs of any gross changes</w:t>
      </w:r>
      <w:r w:rsidRPr="002460DA">
        <w:rPr>
          <w:rFonts w:cstheme="minorHAnsi"/>
          <w:sz w:val="24"/>
          <w:szCs w:val="24"/>
        </w:rPr>
        <w:t>.</w:t>
      </w:r>
      <w:r w:rsidR="00992937" w:rsidRPr="002460DA">
        <w:rPr>
          <w:rFonts w:cstheme="minorHAnsi"/>
          <w:sz w:val="24"/>
          <w:szCs w:val="24"/>
        </w:rPr>
        <w:t xml:space="preserve"> </w:t>
      </w:r>
    </w:p>
    <w:p w14:paraId="00B3BD51" w14:textId="52F417E6" w:rsidR="00B25E9F" w:rsidRPr="002460DA" w:rsidRDefault="00B25E9F">
      <w:pPr>
        <w:rPr>
          <w:rFonts w:cstheme="minorHAnsi"/>
          <w:b/>
          <w:sz w:val="24"/>
          <w:szCs w:val="24"/>
        </w:rPr>
      </w:pPr>
      <w:r w:rsidRPr="002460DA">
        <w:rPr>
          <w:rFonts w:cstheme="minorHAnsi"/>
          <w:b/>
          <w:sz w:val="24"/>
          <w:szCs w:val="24"/>
        </w:rPr>
        <w:t xml:space="preserve">Please see the post-mortem </w:t>
      </w:r>
      <w:r w:rsidR="009B2CB3" w:rsidRPr="002460DA">
        <w:rPr>
          <w:rFonts w:cstheme="minorHAnsi"/>
          <w:b/>
          <w:sz w:val="24"/>
          <w:szCs w:val="24"/>
        </w:rPr>
        <w:t>gross examination</w:t>
      </w:r>
      <w:r w:rsidRPr="002460DA">
        <w:rPr>
          <w:rFonts w:cstheme="minorHAnsi"/>
          <w:b/>
          <w:sz w:val="24"/>
          <w:szCs w:val="24"/>
        </w:rPr>
        <w:t xml:space="preserve"> form. </w:t>
      </w:r>
      <w:r w:rsidR="009128E3" w:rsidRPr="002460DA">
        <w:rPr>
          <w:rFonts w:cstheme="minorHAnsi"/>
          <w:b/>
          <w:sz w:val="24"/>
          <w:szCs w:val="24"/>
        </w:rPr>
        <w:t xml:space="preserve">Feel free to call us at IVP for any advice or questions before, during or after your </w:t>
      </w:r>
      <w:r w:rsidR="009B2CB3" w:rsidRPr="002460DA">
        <w:rPr>
          <w:rFonts w:cstheme="minorHAnsi"/>
          <w:b/>
          <w:sz w:val="24"/>
          <w:szCs w:val="24"/>
        </w:rPr>
        <w:t xml:space="preserve">in-clinic </w:t>
      </w:r>
      <w:r w:rsidR="009128E3" w:rsidRPr="002460DA">
        <w:rPr>
          <w:rFonts w:cstheme="minorHAnsi"/>
          <w:b/>
          <w:sz w:val="24"/>
          <w:szCs w:val="24"/>
        </w:rPr>
        <w:t xml:space="preserve">necropsy </w:t>
      </w:r>
      <w:r w:rsidR="00A34C5F" w:rsidRPr="002460DA">
        <w:rPr>
          <w:rFonts w:cstheme="minorHAnsi"/>
          <w:b/>
          <w:sz w:val="24"/>
          <w:szCs w:val="24"/>
        </w:rPr>
        <w:t>on (07) 3088 4080</w:t>
      </w:r>
      <w:r w:rsidR="002460DA">
        <w:rPr>
          <w:rFonts w:cstheme="minorHAnsi"/>
          <w:b/>
          <w:sz w:val="24"/>
          <w:szCs w:val="24"/>
        </w:rPr>
        <w:t>, or on our individual mobile numbers found in our report signature</w:t>
      </w:r>
      <w:r w:rsidR="009128E3" w:rsidRPr="002460DA">
        <w:rPr>
          <w:rFonts w:cstheme="minorHAnsi"/>
          <w:b/>
          <w:sz w:val="24"/>
          <w:szCs w:val="24"/>
        </w:rPr>
        <w:t>.</w:t>
      </w:r>
    </w:p>
    <w:p w14:paraId="0EE273FD" w14:textId="48C3F275" w:rsidR="00B25E9F" w:rsidRPr="002460DA" w:rsidRDefault="00B25E9F" w:rsidP="00B25E9F">
      <w:pPr>
        <w:rPr>
          <w:rFonts w:cstheme="minorHAnsi"/>
          <w:sz w:val="24"/>
          <w:szCs w:val="24"/>
        </w:rPr>
      </w:pPr>
      <w:r w:rsidRPr="002460DA">
        <w:rPr>
          <w:rFonts w:cstheme="minorHAnsi"/>
          <w:sz w:val="24"/>
          <w:szCs w:val="24"/>
        </w:rPr>
        <w:t>For each lesion observed</w:t>
      </w:r>
      <w:r w:rsidR="002460DA">
        <w:rPr>
          <w:rFonts w:cstheme="minorHAnsi"/>
          <w:sz w:val="24"/>
          <w:szCs w:val="24"/>
        </w:rPr>
        <w:t xml:space="preserve"> during your necropsy</w:t>
      </w:r>
      <w:r w:rsidRPr="002460DA">
        <w:rPr>
          <w:rFonts w:cstheme="minorHAnsi"/>
          <w:sz w:val="24"/>
          <w:szCs w:val="24"/>
        </w:rPr>
        <w:t>, please include as many of the following descriptors as you can:</w:t>
      </w:r>
    </w:p>
    <w:p w14:paraId="5E14C049" w14:textId="77777777" w:rsidR="00B25E9F" w:rsidRPr="002460DA" w:rsidRDefault="00B25E9F" w:rsidP="00BF0BFC">
      <w:pPr>
        <w:pStyle w:val="ListParagraph"/>
        <w:numPr>
          <w:ilvl w:val="0"/>
          <w:numId w:val="2"/>
        </w:numPr>
        <w:rPr>
          <w:rFonts w:cstheme="minorHAnsi"/>
          <w:sz w:val="24"/>
          <w:szCs w:val="24"/>
        </w:rPr>
      </w:pPr>
      <w:r w:rsidRPr="002460DA">
        <w:rPr>
          <w:rFonts w:cstheme="minorHAnsi"/>
          <w:sz w:val="24"/>
          <w:szCs w:val="24"/>
        </w:rPr>
        <w:t>Location</w:t>
      </w:r>
    </w:p>
    <w:p w14:paraId="3FAE43C1" w14:textId="77777777" w:rsidR="00B25E9F" w:rsidRPr="002460DA" w:rsidRDefault="00B25E9F" w:rsidP="00F335C0">
      <w:pPr>
        <w:pStyle w:val="ListParagraph"/>
        <w:numPr>
          <w:ilvl w:val="0"/>
          <w:numId w:val="2"/>
        </w:numPr>
        <w:rPr>
          <w:rFonts w:cstheme="minorHAnsi"/>
          <w:sz w:val="24"/>
          <w:szCs w:val="24"/>
        </w:rPr>
      </w:pPr>
      <w:r w:rsidRPr="002460DA">
        <w:rPr>
          <w:rFonts w:cstheme="minorHAnsi"/>
          <w:sz w:val="24"/>
          <w:szCs w:val="24"/>
        </w:rPr>
        <w:t>Colour</w:t>
      </w:r>
    </w:p>
    <w:p w14:paraId="1928C5C2" w14:textId="77777777" w:rsidR="00B25E9F" w:rsidRPr="002460DA" w:rsidRDefault="00B25E9F" w:rsidP="00F77BAF">
      <w:pPr>
        <w:pStyle w:val="ListParagraph"/>
        <w:numPr>
          <w:ilvl w:val="0"/>
          <w:numId w:val="2"/>
        </w:numPr>
        <w:rPr>
          <w:rFonts w:cstheme="minorHAnsi"/>
          <w:sz w:val="24"/>
          <w:szCs w:val="24"/>
        </w:rPr>
      </w:pPr>
      <w:r w:rsidRPr="002460DA">
        <w:rPr>
          <w:rFonts w:cstheme="minorHAnsi"/>
          <w:sz w:val="24"/>
          <w:szCs w:val="24"/>
        </w:rPr>
        <w:t>Size (measured)</w:t>
      </w:r>
      <w:bookmarkStart w:id="0" w:name="_GoBack"/>
      <w:bookmarkEnd w:id="0"/>
    </w:p>
    <w:p w14:paraId="35508E57" w14:textId="77777777" w:rsidR="00B25E9F" w:rsidRPr="002460DA" w:rsidRDefault="00B25E9F" w:rsidP="00056C41">
      <w:pPr>
        <w:pStyle w:val="ListParagraph"/>
        <w:numPr>
          <w:ilvl w:val="0"/>
          <w:numId w:val="2"/>
        </w:numPr>
        <w:rPr>
          <w:rFonts w:cstheme="minorHAnsi"/>
          <w:sz w:val="24"/>
          <w:szCs w:val="24"/>
        </w:rPr>
      </w:pPr>
      <w:r w:rsidRPr="002460DA">
        <w:rPr>
          <w:rFonts w:cstheme="minorHAnsi"/>
          <w:sz w:val="24"/>
          <w:szCs w:val="24"/>
        </w:rPr>
        <w:t>Shape</w:t>
      </w:r>
    </w:p>
    <w:p w14:paraId="0089C792" w14:textId="77777777" w:rsidR="00B25E9F" w:rsidRPr="002460DA" w:rsidRDefault="00B25E9F" w:rsidP="00A93A85">
      <w:pPr>
        <w:pStyle w:val="ListParagraph"/>
        <w:numPr>
          <w:ilvl w:val="0"/>
          <w:numId w:val="2"/>
        </w:numPr>
        <w:rPr>
          <w:rFonts w:cstheme="minorHAnsi"/>
          <w:sz w:val="24"/>
          <w:szCs w:val="24"/>
        </w:rPr>
      </w:pPr>
      <w:r w:rsidRPr="002460DA">
        <w:rPr>
          <w:rFonts w:cstheme="minorHAnsi"/>
          <w:sz w:val="24"/>
          <w:szCs w:val="24"/>
        </w:rPr>
        <w:t>Consistency and texture</w:t>
      </w:r>
    </w:p>
    <w:p w14:paraId="03BBAB04" w14:textId="0068E271" w:rsidR="00B25E9F" w:rsidRPr="002460DA" w:rsidRDefault="00B25E9F" w:rsidP="004D6BFD">
      <w:pPr>
        <w:pStyle w:val="ListParagraph"/>
        <w:numPr>
          <w:ilvl w:val="0"/>
          <w:numId w:val="2"/>
        </w:numPr>
        <w:rPr>
          <w:rFonts w:cstheme="minorHAnsi"/>
          <w:sz w:val="24"/>
          <w:szCs w:val="24"/>
        </w:rPr>
      </w:pPr>
      <w:r w:rsidRPr="002460DA">
        <w:rPr>
          <w:rFonts w:cstheme="minorHAnsi"/>
          <w:sz w:val="24"/>
          <w:szCs w:val="24"/>
        </w:rPr>
        <w:t xml:space="preserve">Number </w:t>
      </w:r>
      <w:r w:rsidR="00770878" w:rsidRPr="002460DA">
        <w:rPr>
          <w:rFonts w:cstheme="minorHAnsi"/>
          <w:sz w:val="24"/>
          <w:szCs w:val="24"/>
        </w:rPr>
        <w:t xml:space="preserve">or </w:t>
      </w:r>
      <w:r w:rsidRPr="002460DA">
        <w:rPr>
          <w:rFonts w:cstheme="minorHAnsi"/>
          <w:sz w:val="24"/>
          <w:szCs w:val="24"/>
        </w:rPr>
        <w:t>extent</w:t>
      </w:r>
      <w:r w:rsidR="00770878" w:rsidRPr="002460DA">
        <w:rPr>
          <w:rFonts w:cstheme="minorHAnsi"/>
          <w:sz w:val="24"/>
          <w:szCs w:val="24"/>
        </w:rPr>
        <w:t xml:space="preserve"> </w:t>
      </w:r>
      <w:r w:rsidR="00770878" w:rsidRPr="002460DA">
        <w:rPr>
          <w:rFonts w:cstheme="minorHAnsi"/>
          <w:color w:val="333333"/>
          <w:sz w:val="24"/>
          <w:szCs w:val="24"/>
        </w:rPr>
        <w:t>(% of the organ affected)</w:t>
      </w:r>
    </w:p>
    <w:p w14:paraId="5D27527D" w14:textId="77777777" w:rsidR="00B25E9F" w:rsidRPr="002460DA" w:rsidRDefault="00B25E9F" w:rsidP="00B25E9F">
      <w:pPr>
        <w:pStyle w:val="ListParagraph"/>
        <w:numPr>
          <w:ilvl w:val="0"/>
          <w:numId w:val="2"/>
        </w:numPr>
        <w:rPr>
          <w:rFonts w:cstheme="minorHAnsi"/>
          <w:sz w:val="24"/>
          <w:szCs w:val="24"/>
        </w:rPr>
      </w:pPr>
      <w:r w:rsidRPr="002460DA">
        <w:rPr>
          <w:rFonts w:cstheme="minorHAnsi"/>
          <w:sz w:val="24"/>
          <w:szCs w:val="24"/>
        </w:rPr>
        <w:t>Content – material/volume</w:t>
      </w:r>
    </w:p>
    <w:p w14:paraId="11BE5FB2" w14:textId="60EBC09E" w:rsidR="00B25E9F" w:rsidRPr="002460DA" w:rsidRDefault="00B25E9F" w:rsidP="00B25E9F">
      <w:pPr>
        <w:pStyle w:val="ListParagraph"/>
        <w:numPr>
          <w:ilvl w:val="0"/>
          <w:numId w:val="2"/>
        </w:numPr>
        <w:rPr>
          <w:rFonts w:cstheme="minorHAnsi"/>
          <w:b/>
          <w:sz w:val="24"/>
          <w:szCs w:val="24"/>
        </w:rPr>
      </w:pPr>
      <w:r w:rsidRPr="002460DA">
        <w:rPr>
          <w:rFonts w:cstheme="minorHAnsi"/>
          <w:b/>
          <w:sz w:val="24"/>
          <w:szCs w:val="24"/>
        </w:rPr>
        <w:t xml:space="preserve">Photographs can easily be sent to our photo email address at </w:t>
      </w:r>
      <w:hyperlink r:id="rId8" w:history="1">
        <w:r w:rsidRPr="002460DA">
          <w:rPr>
            <w:rStyle w:val="Hyperlink"/>
            <w:rFonts w:cstheme="minorHAnsi"/>
            <w:b/>
            <w:sz w:val="24"/>
            <w:szCs w:val="24"/>
          </w:rPr>
          <w:t>photo@ivpath.com.au</w:t>
        </w:r>
      </w:hyperlink>
      <w:r w:rsidRPr="002460DA">
        <w:rPr>
          <w:rFonts w:cstheme="minorHAnsi"/>
          <w:b/>
          <w:sz w:val="24"/>
          <w:szCs w:val="24"/>
        </w:rPr>
        <w:t xml:space="preserve"> </w:t>
      </w:r>
    </w:p>
    <w:p w14:paraId="61475FB7" w14:textId="77777777" w:rsidR="002B29A9" w:rsidRPr="002460DA" w:rsidRDefault="002B29A9" w:rsidP="00AF6CC0">
      <w:pPr>
        <w:pStyle w:val="hindent2"/>
        <w:shd w:val="clear" w:color="auto" w:fill="FFFFFF"/>
        <w:spacing w:before="0" w:beforeAutospacing="0" w:after="0" w:afterAutospacing="0" w:line="276" w:lineRule="auto"/>
        <w:rPr>
          <w:rFonts w:asciiTheme="minorHAnsi" w:hAnsiTheme="minorHAnsi" w:cstheme="minorHAnsi"/>
          <w:color w:val="333333"/>
        </w:rPr>
      </w:pPr>
    </w:p>
    <w:p w14:paraId="0D602778" w14:textId="77777777" w:rsidR="002B29A9" w:rsidRPr="002460DA" w:rsidRDefault="002B29A9" w:rsidP="002B29A9">
      <w:pPr>
        <w:rPr>
          <w:rFonts w:cstheme="minorHAnsi"/>
          <w:color w:val="333333"/>
          <w:sz w:val="24"/>
          <w:szCs w:val="24"/>
        </w:rPr>
      </w:pPr>
      <w:r w:rsidRPr="002460DA">
        <w:rPr>
          <w:rFonts w:cstheme="minorHAnsi"/>
          <w:sz w:val="24"/>
          <w:szCs w:val="24"/>
        </w:rPr>
        <w:t>It is helpful to b</w:t>
      </w:r>
      <w:r w:rsidRPr="002460DA">
        <w:rPr>
          <w:rFonts w:cstheme="minorHAnsi"/>
          <w:color w:val="333333"/>
          <w:sz w:val="24"/>
          <w:szCs w:val="24"/>
        </w:rPr>
        <w:t>e familiar with common, </w:t>
      </w:r>
      <w:r w:rsidRPr="002460DA">
        <w:rPr>
          <w:rFonts w:cstheme="minorHAnsi"/>
          <w:bCs/>
          <w:color w:val="333333"/>
          <w:sz w:val="24"/>
          <w:szCs w:val="24"/>
          <w:u w:val="single"/>
        </w:rPr>
        <w:t>non-lesional</w:t>
      </w:r>
      <w:r w:rsidRPr="002460DA">
        <w:rPr>
          <w:rFonts w:cstheme="minorHAnsi"/>
          <w:color w:val="333333"/>
          <w:sz w:val="24"/>
          <w:szCs w:val="24"/>
        </w:rPr>
        <w:t> post-mortem changes, particularly if the body has been frozen or stored prior to necropsy:</w:t>
      </w:r>
    </w:p>
    <w:p w14:paraId="3CD6EF46" w14:textId="77777777" w:rsidR="002B29A9" w:rsidRPr="002460DA" w:rsidRDefault="002B29A9" w:rsidP="002B29A9">
      <w:pPr>
        <w:pStyle w:val="hindent2"/>
        <w:numPr>
          <w:ilvl w:val="0"/>
          <w:numId w:val="6"/>
        </w:numPr>
        <w:shd w:val="clear" w:color="auto" w:fill="FFFFFF"/>
        <w:spacing w:before="0" w:beforeAutospacing="0" w:after="0" w:afterAutospacing="0" w:line="276" w:lineRule="auto"/>
        <w:rPr>
          <w:rFonts w:asciiTheme="minorHAnsi" w:hAnsiTheme="minorHAnsi" w:cstheme="minorHAnsi"/>
          <w:color w:val="333333"/>
        </w:rPr>
      </w:pPr>
      <w:r w:rsidRPr="002460DA">
        <w:rPr>
          <w:rFonts w:asciiTheme="minorHAnsi" w:hAnsiTheme="minorHAnsi" w:cstheme="minorHAnsi"/>
          <w:color w:val="333333"/>
        </w:rPr>
        <w:t>Hypostatic congestion (livor mortis): Blood pools by gravity on the down-side of the animal within the skin and organs</w:t>
      </w:r>
    </w:p>
    <w:p w14:paraId="1CA6319D" w14:textId="77777777" w:rsidR="002B29A9" w:rsidRPr="002460DA" w:rsidRDefault="002B29A9" w:rsidP="002B29A9">
      <w:pPr>
        <w:pStyle w:val="hindent2"/>
        <w:numPr>
          <w:ilvl w:val="0"/>
          <w:numId w:val="6"/>
        </w:numPr>
        <w:shd w:val="clear" w:color="auto" w:fill="FFFFFF"/>
        <w:spacing w:before="0" w:beforeAutospacing="0" w:after="0" w:afterAutospacing="0" w:line="276" w:lineRule="auto"/>
        <w:rPr>
          <w:rFonts w:asciiTheme="minorHAnsi" w:hAnsiTheme="minorHAnsi" w:cstheme="minorHAnsi"/>
          <w:color w:val="333333"/>
        </w:rPr>
      </w:pPr>
      <w:r w:rsidRPr="002460DA">
        <w:rPr>
          <w:rFonts w:asciiTheme="minorHAnsi" w:hAnsiTheme="minorHAnsi" w:cstheme="minorHAnsi"/>
          <w:color w:val="333333"/>
        </w:rPr>
        <w:t>Haemoglobin imbibition: Dull-red discoloration of tissue due to lysis of red blood cells</w:t>
      </w:r>
    </w:p>
    <w:p w14:paraId="2ECA1E11" w14:textId="77777777" w:rsidR="002B29A9" w:rsidRPr="002460DA" w:rsidRDefault="002B29A9" w:rsidP="002B29A9">
      <w:pPr>
        <w:pStyle w:val="hindent2"/>
        <w:numPr>
          <w:ilvl w:val="0"/>
          <w:numId w:val="6"/>
        </w:numPr>
        <w:shd w:val="clear" w:color="auto" w:fill="FFFFFF"/>
        <w:spacing w:before="0" w:beforeAutospacing="0" w:after="0" w:afterAutospacing="0" w:line="276" w:lineRule="auto"/>
        <w:rPr>
          <w:rFonts w:asciiTheme="minorHAnsi" w:hAnsiTheme="minorHAnsi" w:cstheme="minorHAnsi"/>
          <w:color w:val="333333"/>
        </w:rPr>
      </w:pPr>
      <w:r w:rsidRPr="002460DA">
        <w:rPr>
          <w:rFonts w:asciiTheme="minorHAnsi" w:hAnsiTheme="minorHAnsi" w:cstheme="minorHAnsi"/>
          <w:color w:val="333333"/>
        </w:rPr>
        <w:t>Bile imbibition: Yellow to green discoloration of tissue adjacent to the gallbladder</w:t>
      </w:r>
    </w:p>
    <w:p w14:paraId="1AF03756" w14:textId="77777777" w:rsidR="002B29A9" w:rsidRPr="002460DA" w:rsidRDefault="002B29A9" w:rsidP="002B29A9">
      <w:pPr>
        <w:pStyle w:val="hindent2"/>
        <w:numPr>
          <w:ilvl w:val="0"/>
          <w:numId w:val="6"/>
        </w:numPr>
        <w:shd w:val="clear" w:color="auto" w:fill="FFFFFF"/>
        <w:spacing w:before="0" w:beforeAutospacing="0" w:after="0" w:afterAutospacing="0" w:line="276" w:lineRule="auto"/>
        <w:rPr>
          <w:rFonts w:asciiTheme="minorHAnsi" w:hAnsiTheme="minorHAnsi" w:cstheme="minorHAnsi"/>
          <w:color w:val="333333"/>
        </w:rPr>
      </w:pPr>
      <w:proofErr w:type="spellStart"/>
      <w:r w:rsidRPr="002460DA">
        <w:rPr>
          <w:rFonts w:asciiTheme="minorHAnsi" w:hAnsiTheme="minorHAnsi" w:cstheme="minorHAnsi"/>
          <w:color w:val="333333"/>
        </w:rPr>
        <w:t>Pseudomelanosis</w:t>
      </w:r>
      <w:proofErr w:type="spellEnd"/>
      <w:r w:rsidRPr="002460DA">
        <w:rPr>
          <w:rFonts w:asciiTheme="minorHAnsi" w:hAnsiTheme="minorHAnsi" w:cstheme="minorHAnsi"/>
          <w:color w:val="333333"/>
        </w:rPr>
        <w:t>: Red-tan to grey or nearly black discoloration of tissue due to autolysis</w:t>
      </w:r>
    </w:p>
    <w:p w14:paraId="0C87AAD3" w14:textId="77777777" w:rsidR="002B29A9" w:rsidRPr="002460DA" w:rsidRDefault="002B29A9" w:rsidP="002B29A9">
      <w:pPr>
        <w:pStyle w:val="hindent2"/>
        <w:numPr>
          <w:ilvl w:val="0"/>
          <w:numId w:val="6"/>
        </w:numPr>
        <w:shd w:val="clear" w:color="auto" w:fill="FFFFFF"/>
        <w:spacing w:before="0" w:beforeAutospacing="0" w:after="0" w:afterAutospacing="0" w:line="276" w:lineRule="auto"/>
        <w:rPr>
          <w:rFonts w:asciiTheme="minorHAnsi" w:hAnsiTheme="minorHAnsi" w:cstheme="minorHAnsi"/>
          <w:color w:val="333333"/>
        </w:rPr>
      </w:pPr>
      <w:r w:rsidRPr="002460DA">
        <w:rPr>
          <w:rFonts w:asciiTheme="minorHAnsi" w:hAnsiTheme="minorHAnsi" w:cstheme="minorHAnsi"/>
          <w:color w:val="333333"/>
        </w:rPr>
        <w:t>Putrefaction: Severe softening and accumulation of gas in the tissues due to autolysis</w:t>
      </w:r>
    </w:p>
    <w:p w14:paraId="65C99115" w14:textId="77777777" w:rsidR="008F092C" w:rsidRPr="002460DA" w:rsidRDefault="008F092C" w:rsidP="00B25E9F">
      <w:pPr>
        <w:rPr>
          <w:rFonts w:cstheme="minorHAnsi"/>
          <w:sz w:val="24"/>
          <w:szCs w:val="24"/>
        </w:rPr>
      </w:pPr>
    </w:p>
    <w:p w14:paraId="0652E73E" w14:textId="1996CF07" w:rsidR="00023414" w:rsidRPr="002460DA" w:rsidRDefault="00B25E9F" w:rsidP="00B25E9F">
      <w:pPr>
        <w:rPr>
          <w:rFonts w:cstheme="minorHAnsi"/>
          <w:sz w:val="24"/>
          <w:szCs w:val="24"/>
        </w:rPr>
      </w:pPr>
      <w:r w:rsidRPr="002460DA">
        <w:rPr>
          <w:rFonts w:cstheme="minorHAnsi"/>
          <w:sz w:val="24"/>
          <w:szCs w:val="24"/>
        </w:rPr>
        <w:t>*For potential reportable disease cases please contact your local biosecurity laboratory, which for Queensland is Biosecurity Sciences Laboratory</w:t>
      </w:r>
      <w:r w:rsidR="00023414" w:rsidRPr="002460DA">
        <w:rPr>
          <w:rFonts w:cstheme="minorHAnsi"/>
          <w:sz w:val="24"/>
          <w:szCs w:val="24"/>
        </w:rPr>
        <w:t xml:space="preserve">: </w:t>
      </w:r>
      <w:hyperlink r:id="rId9" w:history="1">
        <w:r w:rsidR="00023414" w:rsidRPr="002460DA">
          <w:rPr>
            <w:rStyle w:val="Hyperlink"/>
            <w:rFonts w:cstheme="minorHAnsi"/>
            <w:sz w:val="24"/>
            <w:szCs w:val="24"/>
          </w:rPr>
          <w:t>The Biosecurity Sciences Laboratory | Business Queensland</w:t>
        </w:r>
      </w:hyperlink>
      <w:r w:rsidR="00023414" w:rsidRPr="002460DA">
        <w:rPr>
          <w:rFonts w:cstheme="minorHAnsi"/>
          <w:sz w:val="24"/>
          <w:szCs w:val="24"/>
        </w:rPr>
        <w:t>.</w:t>
      </w:r>
    </w:p>
    <w:p w14:paraId="4991090C" w14:textId="78B55039" w:rsidR="002460DA" w:rsidRPr="002460DA" w:rsidRDefault="002460DA">
      <w:pPr>
        <w:rPr>
          <w:rFonts w:cstheme="minorHAnsi"/>
          <w:sz w:val="24"/>
          <w:szCs w:val="24"/>
        </w:rPr>
      </w:pPr>
      <w:r w:rsidRPr="002460DA">
        <w:rPr>
          <w:rFonts w:cstheme="minorHAnsi"/>
          <w:sz w:val="24"/>
          <w:szCs w:val="24"/>
        </w:rPr>
        <w:br w:type="page"/>
      </w:r>
    </w:p>
    <w:p w14:paraId="399387DE" w14:textId="77777777" w:rsidR="002460DA" w:rsidRPr="002460DA" w:rsidRDefault="002460DA" w:rsidP="002460DA">
      <w:pPr>
        <w:jc w:val="center"/>
        <w:rPr>
          <w:rFonts w:cstheme="minorHAnsi"/>
          <w:b/>
          <w:sz w:val="24"/>
          <w:szCs w:val="24"/>
          <w:u w:val="single"/>
        </w:rPr>
      </w:pPr>
      <w:r w:rsidRPr="002460DA">
        <w:rPr>
          <w:noProof/>
          <w:sz w:val="24"/>
          <w:szCs w:val="24"/>
          <w:lang w:eastAsia="en-AU"/>
        </w:rPr>
        <w:lastRenderedPageBreak/>
        <w:drawing>
          <wp:inline distT="0" distB="0" distL="0" distR="0" wp14:anchorId="2887581B" wp14:editId="6B4BCD29">
            <wp:extent cx="1722755" cy="95337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753558" cy="970416"/>
                    </a:xfrm>
                    <a:prstGeom prst="rect">
                      <a:avLst/>
                    </a:prstGeom>
                  </pic:spPr>
                </pic:pic>
              </a:graphicData>
            </a:graphic>
          </wp:inline>
        </w:drawing>
      </w:r>
    </w:p>
    <w:p w14:paraId="6BD01375" w14:textId="77777777" w:rsidR="002460DA" w:rsidRPr="002460DA" w:rsidRDefault="002460DA" w:rsidP="002460DA">
      <w:pPr>
        <w:jc w:val="center"/>
        <w:rPr>
          <w:rFonts w:cstheme="minorHAnsi"/>
          <w:b/>
          <w:sz w:val="24"/>
          <w:szCs w:val="24"/>
          <w:u w:val="single"/>
        </w:rPr>
      </w:pPr>
      <w:r w:rsidRPr="002460DA">
        <w:rPr>
          <w:rFonts w:cstheme="minorHAnsi"/>
          <w:b/>
          <w:sz w:val="24"/>
          <w:szCs w:val="24"/>
          <w:u w:val="single"/>
        </w:rPr>
        <w:t>Independent Veterinary Pathology Post-Mortem Tips</w:t>
      </w:r>
    </w:p>
    <w:p w14:paraId="6F602269" w14:textId="77777777" w:rsidR="002460DA" w:rsidRDefault="002460DA" w:rsidP="00AF6CC0">
      <w:pPr>
        <w:pStyle w:val="hindent1"/>
        <w:shd w:val="clear" w:color="auto" w:fill="FFFFFF"/>
        <w:spacing w:before="0" w:beforeAutospacing="0" w:after="0" w:afterAutospacing="0" w:line="276" w:lineRule="auto"/>
        <w:rPr>
          <w:rFonts w:asciiTheme="minorHAnsi" w:hAnsiTheme="minorHAnsi" w:cstheme="minorHAnsi"/>
          <w:b/>
          <w:color w:val="333333"/>
        </w:rPr>
      </w:pPr>
    </w:p>
    <w:p w14:paraId="368CD7CA" w14:textId="560A976D" w:rsidR="00AF6CC0" w:rsidRPr="002460DA" w:rsidRDefault="00AF6CC0" w:rsidP="00AF6CC0">
      <w:pPr>
        <w:pStyle w:val="hindent1"/>
        <w:shd w:val="clear" w:color="auto" w:fill="FFFFFF"/>
        <w:spacing w:before="0" w:beforeAutospacing="0" w:after="0" w:afterAutospacing="0" w:line="276" w:lineRule="auto"/>
        <w:rPr>
          <w:rFonts w:asciiTheme="minorHAnsi" w:hAnsiTheme="minorHAnsi" w:cstheme="minorHAnsi"/>
          <w:b/>
          <w:color w:val="333333"/>
        </w:rPr>
      </w:pPr>
      <w:r w:rsidRPr="002460DA">
        <w:rPr>
          <w:rFonts w:asciiTheme="minorHAnsi" w:hAnsiTheme="minorHAnsi" w:cstheme="minorHAnsi"/>
          <w:b/>
          <w:color w:val="333333"/>
        </w:rPr>
        <w:t>Helpful tips:</w:t>
      </w:r>
    </w:p>
    <w:p w14:paraId="4A0CC086" w14:textId="77777777" w:rsidR="00AF6CC0" w:rsidRPr="002460DA" w:rsidRDefault="00AF6CC0" w:rsidP="00AF6CC0">
      <w:pPr>
        <w:pStyle w:val="hindent2"/>
        <w:numPr>
          <w:ilvl w:val="0"/>
          <w:numId w:val="7"/>
        </w:numPr>
        <w:shd w:val="clear" w:color="auto" w:fill="FFFFFF"/>
        <w:spacing w:before="0" w:beforeAutospacing="0" w:after="0" w:afterAutospacing="0" w:line="276" w:lineRule="auto"/>
        <w:rPr>
          <w:rFonts w:asciiTheme="minorHAnsi" w:hAnsiTheme="minorHAnsi" w:cstheme="minorHAnsi"/>
          <w:color w:val="333333"/>
        </w:rPr>
      </w:pPr>
      <w:r w:rsidRPr="002460DA">
        <w:rPr>
          <w:rFonts w:asciiTheme="minorHAnsi" w:hAnsiTheme="minorHAnsi" w:cstheme="minorHAnsi"/>
          <w:color w:val="333333"/>
        </w:rPr>
        <w:t xml:space="preserve">Fill out a submission form with a </w:t>
      </w:r>
      <w:r w:rsidRPr="002460DA">
        <w:rPr>
          <w:rFonts w:asciiTheme="minorHAnsi" w:hAnsiTheme="minorHAnsi" w:cstheme="minorHAnsi"/>
          <w:b/>
          <w:color w:val="333333"/>
        </w:rPr>
        <w:t>complete, detailed history</w:t>
      </w:r>
      <w:r w:rsidRPr="002460DA">
        <w:rPr>
          <w:rFonts w:asciiTheme="minorHAnsi" w:hAnsiTheme="minorHAnsi" w:cstheme="minorHAnsi"/>
          <w:color w:val="333333"/>
        </w:rPr>
        <w:t xml:space="preserve"> including differential diagnoses and clinical concerns regarding the patient's disease</w:t>
      </w:r>
    </w:p>
    <w:p w14:paraId="6642B4BC" w14:textId="42B062AC" w:rsidR="00AF6CC0" w:rsidRPr="002460DA" w:rsidRDefault="00412BEE" w:rsidP="00AF6CC0">
      <w:pPr>
        <w:pStyle w:val="hindent2"/>
        <w:numPr>
          <w:ilvl w:val="0"/>
          <w:numId w:val="7"/>
        </w:numPr>
        <w:shd w:val="clear" w:color="auto" w:fill="FFFFFF"/>
        <w:spacing w:before="0" w:beforeAutospacing="0" w:after="0" w:afterAutospacing="0" w:line="276" w:lineRule="auto"/>
        <w:rPr>
          <w:rFonts w:cstheme="minorHAnsi"/>
        </w:rPr>
      </w:pPr>
      <w:r>
        <w:rPr>
          <w:rFonts w:asciiTheme="minorHAnsi" w:hAnsiTheme="minorHAnsi" w:cstheme="minorHAnsi"/>
          <w:color w:val="333333"/>
        </w:rPr>
        <w:t>Also i</w:t>
      </w:r>
      <w:r w:rsidR="00AF6CC0" w:rsidRPr="002460DA">
        <w:rPr>
          <w:rFonts w:asciiTheme="minorHAnsi" w:hAnsiTheme="minorHAnsi" w:cstheme="minorHAnsi"/>
          <w:color w:val="333333"/>
        </w:rPr>
        <w:t xml:space="preserve">nclude </w:t>
      </w:r>
      <w:r w:rsidR="00AF6CC0" w:rsidRPr="00412BEE">
        <w:rPr>
          <w:rFonts w:asciiTheme="minorHAnsi" w:hAnsiTheme="minorHAnsi" w:cstheme="minorHAnsi"/>
          <w:b/>
          <w:color w:val="333333"/>
          <w:u w:val="single"/>
        </w:rPr>
        <w:t>photos</w:t>
      </w:r>
      <w:r w:rsidR="00AF6CC0" w:rsidRPr="002460DA">
        <w:rPr>
          <w:rFonts w:asciiTheme="minorHAnsi" w:hAnsiTheme="minorHAnsi" w:cstheme="minorHAnsi"/>
          <w:color w:val="333333"/>
        </w:rPr>
        <w:t xml:space="preserve"> and </w:t>
      </w:r>
      <w:r>
        <w:rPr>
          <w:rFonts w:asciiTheme="minorHAnsi" w:hAnsiTheme="minorHAnsi" w:cstheme="minorHAnsi"/>
          <w:color w:val="333333"/>
        </w:rPr>
        <w:t xml:space="preserve">blood tests/other </w:t>
      </w:r>
      <w:r w:rsidR="00AF6CC0" w:rsidRPr="002460DA">
        <w:rPr>
          <w:rFonts w:asciiTheme="minorHAnsi" w:hAnsiTheme="minorHAnsi" w:cstheme="minorHAnsi"/>
          <w:color w:val="333333"/>
        </w:rPr>
        <w:t>laboratory results if possible.</w:t>
      </w:r>
    </w:p>
    <w:p w14:paraId="543F3AD2" w14:textId="77777777" w:rsidR="00AF6CC0" w:rsidRPr="002460DA" w:rsidRDefault="00AF6CC0" w:rsidP="00AF6CC0">
      <w:pPr>
        <w:pStyle w:val="hindent2"/>
        <w:numPr>
          <w:ilvl w:val="0"/>
          <w:numId w:val="7"/>
        </w:numPr>
        <w:shd w:val="clear" w:color="auto" w:fill="FFFFFF"/>
        <w:spacing w:before="0" w:beforeAutospacing="0" w:after="0" w:afterAutospacing="0" w:line="276" w:lineRule="auto"/>
        <w:rPr>
          <w:rFonts w:asciiTheme="minorHAnsi" w:hAnsiTheme="minorHAnsi" w:cstheme="minorHAnsi"/>
          <w:color w:val="333333"/>
        </w:rPr>
      </w:pPr>
      <w:r w:rsidRPr="002460DA">
        <w:rPr>
          <w:rFonts w:asciiTheme="minorHAnsi" w:hAnsiTheme="minorHAnsi" w:cstheme="minorHAnsi"/>
          <w:color w:val="333333"/>
        </w:rPr>
        <w:t>Use 10% neutral buffered formalin and ensure a 10:1 formalin to tissue ratio. We supply buckets up to 4 litres if required!</w:t>
      </w:r>
    </w:p>
    <w:p w14:paraId="708D849F" w14:textId="20395749" w:rsidR="00B2125F" w:rsidRDefault="00AF6CC0" w:rsidP="0061717D">
      <w:pPr>
        <w:pStyle w:val="hindent2"/>
        <w:numPr>
          <w:ilvl w:val="0"/>
          <w:numId w:val="7"/>
        </w:numPr>
        <w:shd w:val="clear" w:color="auto" w:fill="FFFFFF"/>
        <w:spacing w:before="0" w:beforeAutospacing="0" w:after="0" w:afterAutospacing="0" w:line="276" w:lineRule="auto"/>
        <w:rPr>
          <w:rFonts w:asciiTheme="minorHAnsi" w:hAnsiTheme="minorHAnsi" w:cstheme="minorHAnsi"/>
          <w:color w:val="333333"/>
        </w:rPr>
      </w:pPr>
      <w:r w:rsidRPr="002460DA">
        <w:rPr>
          <w:rFonts w:asciiTheme="minorHAnsi" w:hAnsiTheme="minorHAnsi" w:cstheme="minorHAnsi"/>
          <w:color w:val="333333"/>
        </w:rPr>
        <w:t>Maximum 1cm in thickness where possible – this ensures fast fixation and less autolysis (rotting) of the tissue.</w:t>
      </w:r>
    </w:p>
    <w:p w14:paraId="02A24CEB" w14:textId="695FF95A" w:rsidR="002460DA" w:rsidRDefault="002460DA" w:rsidP="002460DA">
      <w:pPr>
        <w:pStyle w:val="hindent2"/>
        <w:numPr>
          <w:ilvl w:val="0"/>
          <w:numId w:val="7"/>
        </w:numPr>
        <w:shd w:val="clear" w:color="auto" w:fill="FFFFFF"/>
        <w:spacing w:before="0" w:beforeAutospacing="0" w:after="0" w:afterAutospacing="0" w:line="276" w:lineRule="auto"/>
        <w:rPr>
          <w:rFonts w:asciiTheme="minorHAnsi" w:hAnsiTheme="minorHAnsi" w:cstheme="minorHAnsi"/>
          <w:color w:val="333333"/>
        </w:rPr>
      </w:pPr>
      <w:r>
        <w:rPr>
          <w:rFonts w:asciiTheme="minorHAnsi" w:hAnsiTheme="minorHAnsi" w:cstheme="minorHAnsi"/>
          <w:color w:val="333333"/>
        </w:rPr>
        <w:t xml:space="preserve">For animals where poisoning is a </w:t>
      </w:r>
      <w:r w:rsidR="00412BEE">
        <w:rPr>
          <w:rFonts w:asciiTheme="minorHAnsi" w:hAnsiTheme="minorHAnsi" w:cstheme="minorHAnsi"/>
          <w:color w:val="333333"/>
        </w:rPr>
        <w:t>suspected</w:t>
      </w:r>
      <w:r>
        <w:rPr>
          <w:rFonts w:asciiTheme="minorHAnsi" w:hAnsiTheme="minorHAnsi" w:cstheme="minorHAnsi"/>
          <w:color w:val="333333"/>
        </w:rPr>
        <w:t xml:space="preserve"> cause of death, </w:t>
      </w:r>
      <w:r w:rsidR="00412BEE">
        <w:rPr>
          <w:rFonts w:asciiTheme="minorHAnsi" w:hAnsiTheme="minorHAnsi" w:cstheme="minorHAnsi"/>
          <w:color w:val="333333"/>
        </w:rPr>
        <w:t>take some liver samples and stomach contents and freeze in separate labelled jars (e.g. urine collection jar) in case future additional testing is recommended.</w:t>
      </w:r>
    </w:p>
    <w:p w14:paraId="21EDE563" w14:textId="048B48C3" w:rsidR="00412BEE" w:rsidRDefault="00412BEE" w:rsidP="002460DA">
      <w:pPr>
        <w:pStyle w:val="hindent2"/>
        <w:numPr>
          <w:ilvl w:val="0"/>
          <w:numId w:val="7"/>
        </w:numPr>
        <w:shd w:val="clear" w:color="auto" w:fill="FFFFFF"/>
        <w:spacing w:before="0" w:beforeAutospacing="0" w:after="0" w:afterAutospacing="0" w:line="276" w:lineRule="auto"/>
        <w:rPr>
          <w:rFonts w:asciiTheme="minorHAnsi" w:hAnsiTheme="minorHAnsi" w:cstheme="minorHAnsi"/>
          <w:color w:val="333333"/>
        </w:rPr>
      </w:pPr>
      <w:r>
        <w:rPr>
          <w:rFonts w:asciiTheme="minorHAnsi" w:hAnsiTheme="minorHAnsi" w:cstheme="minorHAnsi"/>
          <w:color w:val="333333"/>
        </w:rPr>
        <w:t xml:space="preserve">It can be helpful to include a list of tissues sampled, particularly if a small piece is taken or the organ is small (such as thyroid glands) as these can sometimes get lost amongst larger pieces if they are all in the same bucket or pot.  </w:t>
      </w:r>
    </w:p>
    <w:p w14:paraId="6E73101E" w14:textId="42F26319" w:rsidR="00412BEE" w:rsidRDefault="00412BEE" w:rsidP="002460DA">
      <w:pPr>
        <w:pStyle w:val="hindent2"/>
        <w:numPr>
          <w:ilvl w:val="0"/>
          <w:numId w:val="7"/>
        </w:numPr>
        <w:shd w:val="clear" w:color="auto" w:fill="FFFFFF"/>
        <w:spacing w:before="0" w:beforeAutospacing="0" w:after="0" w:afterAutospacing="0" w:line="276" w:lineRule="auto"/>
        <w:rPr>
          <w:rFonts w:asciiTheme="minorHAnsi" w:hAnsiTheme="minorHAnsi" w:cstheme="minorHAnsi"/>
          <w:color w:val="333333"/>
        </w:rPr>
      </w:pPr>
      <w:r>
        <w:rPr>
          <w:rFonts w:asciiTheme="minorHAnsi" w:hAnsiTheme="minorHAnsi" w:cstheme="minorHAnsi"/>
          <w:color w:val="333333"/>
        </w:rPr>
        <w:t xml:space="preserve">Freezing of organs or whole animals is always an option if you don’t have time for a necropsy in the short term (hours or the next day), or if the owner needs more time to decide whether to go ahead with necropsy or histology. If freezing, it is important that de-frosting is controlled </w:t>
      </w:r>
      <w:proofErr w:type="spellStart"/>
      <w:r>
        <w:rPr>
          <w:rFonts w:asciiTheme="minorHAnsi" w:hAnsiTheme="minorHAnsi" w:cstheme="minorHAnsi"/>
          <w:color w:val="333333"/>
        </w:rPr>
        <w:t>ie</w:t>
      </w:r>
      <w:proofErr w:type="spellEnd"/>
      <w:r>
        <w:rPr>
          <w:rFonts w:asciiTheme="minorHAnsi" w:hAnsiTheme="minorHAnsi" w:cstheme="minorHAnsi"/>
          <w:color w:val="333333"/>
        </w:rPr>
        <w:t>. Defrost a whole body in the fridge, not at room temperature. If tissue samples were frozen, these can be placed in formalin then allowed to defrost in the fridge.</w:t>
      </w:r>
    </w:p>
    <w:p w14:paraId="67D08787" w14:textId="41EB4291" w:rsidR="00F57977" w:rsidRPr="00EC4503" w:rsidRDefault="00F57977" w:rsidP="002460DA">
      <w:pPr>
        <w:pStyle w:val="hindent2"/>
        <w:numPr>
          <w:ilvl w:val="0"/>
          <w:numId w:val="7"/>
        </w:numPr>
        <w:shd w:val="clear" w:color="auto" w:fill="FFFFFF"/>
        <w:spacing w:before="0" w:beforeAutospacing="0" w:after="0" w:afterAutospacing="0" w:line="276" w:lineRule="auto"/>
        <w:rPr>
          <w:rFonts w:asciiTheme="minorHAnsi" w:hAnsiTheme="minorHAnsi" w:cstheme="minorHAnsi"/>
          <w:color w:val="333333"/>
        </w:rPr>
      </w:pPr>
      <w:proofErr w:type="spellStart"/>
      <w:r>
        <w:rPr>
          <w:rFonts w:asciiTheme="minorHAnsi" w:hAnsiTheme="minorHAnsi" w:cstheme="minorHAnsi"/>
          <w:color w:val="333333"/>
        </w:rPr>
        <w:t>PetMD</w:t>
      </w:r>
      <w:proofErr w:type="spellEnd"/>
      <w:r>
        <w:rPr>
          <w:rFonts w:asciiTheme="minorHAnsi" w:hAnsiTheme="minorHAnsi" w:cstheme="minorHAnsi"/>
          <w:color w:val="333333"/>
        </w:rPr>
        <w:t xml:space="preserve"> provides a useful article for pet owners considering </w:t>
      </w:r>
      <w:r w:rsidRPr="00EC4503">
        <w:rPr>
          <w:rFonts w:asciiTheme="minorHAnsi" w:hAnsiTheme="minorHAnsi" w:cstheme="minorHAnsi"/>
          <w:color w:val="333333"/>
        </w:rPr>
        <w:t xml:space="preserve">necropsy: </w:t>
      </w:r>
      <w:hyperlink r:id="rId10" w:history="1">
        <w:r w:rsidRPr="00EC4503">
          <w:rPr>
            <w:rStyle w:val="Hyperlink"/>
            <w:rFonts w:asciiTheme="minorHAnsi" w:hAnsiTheme="minorHAnsi" w:cstheme="minorHAnsi"/>
          </w:rPr>
          <w:t xml:space="preserve">How To Know If Your Pet Needs A Necropsy (And What's A Necropsy Anyway?) | </w:t>
        </w:r>
        <w:proofErr w:type="spellStart"/>
        <w:r w:rsidRPr="00EC4503">
          <w:rPr>
            <w:rStyle w:val="Hyperlink"/>
            <w:rFonts w:asciiTheme="minorHAnsi" w:hAnsiTheme="minorHAnsi" w:cstheme="minorHAnsi"/>
          </w:rPr>
          <w:t>PetMD</w:t>
        </w:r>
        <w:proofErr w:type="spellEnd"/>
      </w:hyperlink>
    </w:p>
    <w:p w14:paraId="52D64AC2" w14:textId="01FEDA02" w:rsidR="002460DA" w:rsidRPr="00EC4503" w:rsidRDefault="002460DA" w:rsidP="002460DA">
      <w:pPr>
        <w:pStyle w:val="hindent2"/>
        <w:shd w:val="clear" w:color="auto" w:fill="FFFFFF"/>
        <w:spacing w:before="0" w:beforeAutospacing="0" w:after="0" w:afterAutospacing="0" w:line="276" w:lineRule="auto"/>
        <w:rPr>
          <w:rFonts w:asciiTheme="minorHAnsi" w:hAnsiTheme="minorHAnsi" w:cstheme="minorHAnsi"/>
          <w:color w:val="333333"/>
        </w:rPr>
      </w:pPr>
    </w:p>
    <w:p w14:paraId="28FE36ED" w14:textId="069D19AD" w:rsidR="002460DA" w:rsidRPr="002460DA" w:rsidRDefault="002460DA" w:rsidP="002460DA">
      <w:pPr>
        <w:pStyle w:val="hindent2"/>
        <w:shd w:val="clear" w:color="auto" w:fill="FFFFFF"/>
        <w:spacing w:before="0" w:beforeAutospacing="0" w:after="0" w:afterAutospacing="0" w:line="276" w:lineRule="auto"/>
        <w:rPr>
          <w:rFonts w:asciiTheme="minorHAnsi" w:hAnsiTheme="minorHAnsi" w:cstheme="minorHAnsi"/>
          <w:b/>
          <w:color w:val="333333"/>
        </w:rPr>
      </w:pPr>
      <w:r w:rsidRPr="002460DA">
        <w:rPr>
          <w:rFonts w:asciiTheme="minorHAnsi" w:hAnsiTheme="minorHAnsi" w:cstheme="minorHAnsi"/>
          <w:b/>
          <w:color w:val="333333"/>
        </w:rPr>
        <w:t>Pocket pets and birds:</w:t>
      </w:r>
    </w:p>
    <w:p w14:paraId="4F931C30" w14:textId="7E521480" w:rsidR="002460DA" w:rsidRDefault="002460DA" w:rsidP="002460DA">
      <w:pPr>
        <w:pStyle w:val="hindent2"/>
        <w:numPr>
          <w:ilvl w:val="0"/>
          <w:numId w:val="10"/>
        </w:numPr>
        <w:shd w:val="clear" w:color="auto" w:fill="FFFFFF"/>
        <w:spacing w:before="0" w:beforeAutospacing="0" w:after="0" w:afterAutospacing="0" w:line="276" w:lineRule="auto"/>
        <w:rPr>
          <w:rFonts w:asciiTheme="minorHAnsi" w:hAnsiTheme="minorHAnsi" w:cstheme="minorHAnsi"/>
          <w:color w:val="333333"/>
        </w:rPr>
      </w:pPr>
      <w:r>
        <w:rPr>
          <w:rFonts w:asciiTheme="minorHAnsi" w:hAnsiTheme="minorHAnsi" w:cstheme="minorHAnsi"/>
          <w:color w:val="333333"/>
        </w:rPr>
        <w:t>For birds, wet down with water and refrigerate immediately to minimise autolysis (feathers keep in the body heat and speed up tissue decomposition).</w:t>
      </w:r>
    </w:p>
    <w:p w14:paraId="4B68075C" w14:textId="133D11D5" w:rsidR="002460DA" w:rsidRPr="00F57977" w:rsidRDefault="00F57977" w:rsidP="002460DA">
      <w:pPr>
        <w:pStyle w:val="hindent2"/>
        <w:numPr>
          <w:ilvl w:val="0"/>
          <w:numId w:val="10"/>
        </w:numPr>
        <w:shd w:val="clear" w:color="auto" w:fill="FFFFFF"/>
        <w:spacing w:before="0" w:beforeAutospacing="0" w:after="0" w:afterAutospacing="0" w:line="276" w:lineRule="auto"/>
        <w:rPr>
          <w:rFonts w:asciiTheme="minorHAnsi" w:hAnsiTheme="minorHAnsi" w:cstheme="minorHAnsi"/>
          <w:color w:val="333333"/>
        </w:rPr>
      </w:pPr>
      <w:r>
        <w:rPr>
          <w:rFonts w:asciiTheme="minorHAnsi" w:hAnsiTheme="minorHAnsi" w:cstheme="minorHAnsi"/>
          <w:color w:val="333333"/>
        </w:rPr>
        <w:t xml:space="preserve">Did you know that we can perform necropsies at the lab on </w:t>
      </w:r>
      <w:r w:rsidRPr="00F57977">
        <w:rPr>
          <w:rFonts w:asciiTheme="minorHAnsi" w:hAnsiTheme="minorHAnsi" w:cstheme="minorHAnsi"/>
          <w:color w:val="333333"/>
          <w:u w:val="single"/>
        </w:rPr>
        <w:t xml:space="preserve">any </w:t>
      </w:r>
      <w:r w:rsidRPr="00F57977">
        <w:rPr>
          <w:rFonts w:asciiTheme="minorHAnsi" w:hAnsiTheme="minorHAnsi" w:cstheme="minorHAnsi"/>
          <w:color w:val="333333"/>
          <w:u w:val="single"/>
        </w:rPr>
        <w:t>animal 1kg or less</w:t>
      </w:r>
      <w:r>
        <w:rPr>
          <w:rFonts w:asciiTheme="minorHAnsi" w:hAnsiTheme="minorHAnsi" w:cstheme="minorHAnsi"/>
          <w:color w:val="333333"/>
        </w:rPr>
        <w:t xml:space="preserve">? These can be submitted fresh </w:t>
      </w:r>
      <w:r>
        <w:rPr>
          <w:rFonts w:asciiTheme="minorHAnsi" w:hAnsiTheme="minorHAnsi" w:cstheme="minorHAnsi"/>
          <w:color w:val="333333"/>
        </w:rPr>
        <w:t xml:space="preserve">(preferable) </w:t>
      </w:r>
      <w:r>
        <w:rPr>
          <w:rFonts w:asciiTheme="minorHAnsi" w:hAnsiTheme="minorHAnsi" w:cstheme="minorHAnsi"/>
          <w:color w:val="333333"/>
        </w:rPr>
        <w:t>if they can be at the lab in 1-2 days, or another option is to make a midline incision and submerse the entire body in formalin (you will likely need a 4L bucket for this).</w:t>
      </w:r>
    </w:p>
    <w:sectPr w:rsidR="002460DA" w:rsidRPr="00F57977" w:rsidSect="002460DA">
      <w:footerReference w:type="default" r:id="rId11"/>
      <w:pgSz w:w="11906" w:h="16838"/>
      <w:pgMar w:top="1134"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14B9" w14:textId="77777777" w:rsidR="00966753" w:rsidRDefault="00966753" w:rsidP="002460DA">
      <w:pPr>
        <w:spacing w:after="0" w:line="240" w:lineRule="auto"/>
      </w:pPr>
      <w:r>
        <w:separator/>
      </w:r>
    </w:p>
  </w:endnote>
  <w:endnote w:type="continuationSeparator" w:id="0">
    <w:p w14:paraId="512B694F" w14:textId="77777777" w:rsidR="00966753" w:rsidRDefault="00966753" w:rsidP="0024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263905"/>
      <w:docPartObj>
        <w:docPartGallery w:val="Page Numbers (Bottom of Page)"/>
        <w:docPartUnique/>
      </w:docPartObj>
    </w:sdtPr>
    <w:sdtEndPr>
      <w:rPr>
        <w:noProof/>
      </w:rPr>
    </w:sdtEndPr>
    <w:sdtContent>
      <w:p w14:paraId="5E1041C6" w14:textId="247C4155" w:rsidR="002460DA" w:rsidRDefault="002460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7FB1D" w14:textId="77777777" w:rsidR="002460DA" w:rsidRDefault="0024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431E" w14:textId="77777777" w:rsidR="00966753" w:rsidRDefault="00966753" w:rsidP="002460DA">
      <w:pPr>
        <w:spacing w:after="0" w:line="240" w:lineRule="auto"/>
      </w:pPr>
      <w:r>
        <w:separator/>
      </w:r>
    </w:p>
  </w:footnote>
  <w:footnote w:type="continuationSeparator" w:id="0">
    <w:p w14:paraId="77F9DEA5" w14:textId="77777777" w:rsidR="00966753" w:rsidRDefault="00966753" w:rsidP="00246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s://www.vin.com/Images/Proceedings/Bullet2.gif" style="width:6pt;height:6pt;visibility:visible;mso-wrap-style:square" o:bullet="t">
        <v:imagedata r:id="rId1" o:title="Bullet2"/>
      </v:shape>
    </w:pict>
  </w:numPicBullet>
  <w:abstractNum w:abstractNumId="0" w15:restartNumberingAfterBreak="0">
    <w:nsid w:val="01A13A53"/>
    <w:multiLevelType w:val="hybridMultilevel"/>
    <w:tmpl w:val="4E60412E"/>
    <w:lvl w:ilvl="0" w:tplc="8B4C6E3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52FE0"/>
    <w:multiLevelType w:val="hybridMultilevel"/>
    <w:tmpl w:val="9EF4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8175D"/>
    <w:multiLevelType w:val="hybridMultilevel"/>
    <w:tmpl w:val="1DFC9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E54ED"/>
    <w:multiLevelType w:val="hybridMultilevel"/>
    <w:tmpl w:val="4C966CC4"/>
    <w:lvl w:ilvl="0" w:tplc="E3F61A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22D3B"/>
    <w:multiLevelType w:val="hybridMultilevel"/>
    <w:tmpl w:val="5ABE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E6028"/>
    <w:multiLevelType w:val="hybridMultilevel"/>
    <w:tmpl w:val="AC747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E5210"/>
    <w:multiLevelType w:val="hybridMultilevel"/>
    <w:tmpl w:val="0E58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235A0A"/>
    <w:multiLevelType w:val="hybridMultilevel"/>
    <w:tmpl w:val="F70C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810497"/>
    <w:multiLevelType w:val="hybridMultilevel"/>
    <w:tmpl w:val="178A83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C260A9"/>
    <w:multiLevelType w:val="hybridMultilevel"/>
    <w:tmpl w:val="DCD0A40A"/>
    <w:lvl w:ilvl="0" w:tplc="9C480E3E">
      <w:start w:val="1"/>
      <w:numFmt w:val="bullet"/>
      <w:lvlText w:val=""/>
      <w:lvlPicBulletId w:val="0"/>
      <w:lvlJc w:val="left"/>
      <w:pPr>
        <w:tabs>
          <w:tab w:val="num" w:pos="720"/>
        </w:tabs>
        <w:ind w:left="720" w:hanging="360"/>
      </w:pPr>
      <w:rPr>
        <w:rFonts w:ascii="Symbol" w:hAnsi="Symbol" w:hint="default"/>
      </w:rPr>
    </w:lvl>
    <w:lvl w:ilvl="1" w:tplc="C0365064" w:tentative="1">
      <w:start w:val="1"/>
      <w:numFmt w:val="bullet"/>
      <w:lvlText w:val=""/>
      <w:lvlJc w:val="left"/>
      <w:pPr>
        <w:tabs>
          <w:tab w:val="num" w:pos="1440"/>
        </w:tabs>
        <w:ind w:left="1440" w:hanging="360"/>
      </w:pPr>
      <w:rPr>
        <w:rFonts w:ascii="Symbol" w:hAnsi="Symbol" w:hint="default"/>
      </w:rPr>
    </w:lvl>
    <w:lvl w:ilvl="2" w:tplc="60587988" w:tentative="1">
      <w:start w:val="1"/>
      <w:numFmt w:val="bullet"/>
      <w:lvlText w:val=""/>
      <w:lvlJc w:val="left"/>
      <w:pPr>
        <w:tabs>
          <w:tab w:val="num" w:pos="2160"/>
        </w:tabs>
        <w:ind w:left="2160" w:hanging="360"/>
      </w:pPr>
      <w:rPr>
        <w:rFonts w:ascii="Symbol" w:hAnsi="Symbol" w:hint="default"/>
      </w:rPr>
    </w:lvl>
    <w:lvl w:ilvl="3" w:tplc="E25A4D56" w:tentative="1">
      <w:start w:val="1"/>
      <w:numFmt w:val="bullet"/>
      <w:lvlText w:val=""/>
      <w:lvlJc w:val="left"/>
      <w:pPr>
        <w:tabs>
          <w:tab w:val="num" w:pos="2880"/>
        </w:tabs>
        <w:ind w:left="2880" w:hanging="360"/>
      </w:pPr>
      <w:rPr>
        <w:rFonts w:ascii="Symbol" w:hAnsi="Symbol" w:hint="default"/>
      </w:rPr>
    </w:lvl>
    <w:lvl w:ilvl="4" w:tplc="4AB67E5A" w:tentative="1">
      <w:start w:val="1"/>
      <w:numFmt w:val="bullet"/>
      <w:lvlText w:val=""/>
      <w:lvlJc w:val="left"/>
      <w:pPr>
        <w:tabs>
          <w:tab w:val="num" w:pos="3600"/>
        </w:tabs>
        <w:ind w:left="3600" w:hanging="360"/>
      </w:pPr>
      <w:rPr>
        <w:rFonts w:ascii="Symbol" w:hAnsi="Symbol" w:hint="default"/>
      </w:rPr>
    </w:lvl>
    <w:lvl w:ilvl="5" w:tplc="B8C25C6E" w:tentative="1">
      <w:start w:val="1"/>
      <w:numFmt w:val="bullet"/>
      <w:lvlText w:val=""/>
      <w:lvlJc w:val="left"/>
      <w:pPr>
        <w:tabs>
          <w:tab w:val="num" w:pos="4320"/>
        </w:tabs>
        <w:ind w:left="4320" w:hanging="360"/>
      </w:pPr>
      <w:rPr>
        <w:rFonts w:ascii="Symbol" w:hAnsi="Symbol" w:hint="default"/>
      </w:rPr>
    </w:lvl>
    <w:lvl w:ilvl="6" w:tplc="813C5676" w:tentative="1">
      <w:start w:val="1"/>
      <w:numFmt w:val="bullet"/>
      <w:lvlText w:val=""/>
      <w:lvlJc w:val="left"/>
      <w:pPr>
        <w:tabs>
          <w:tab w:val="num" w:pos="5040"/>
        </w:tabs>
        <w:ind w:left="5040" w:hanging="360"/>
      </w:pPr>
      <w:rPr>
        <w:rFonts w:ascii="Symbol" w:hAnsi="Symbol" w:hint="default"/>
      </w:rPr>
    </w:lvl>
    <w:lvl w:ilvl="7" w:tplc="5D88B95A" w:tentative="1">
      <w:start w:val="1"/>
      <w:numFmt w:val="bullet"/>
      <w:lvlText w:val=""/>
      <w:lvlJc w:val="left"/>
      <w:pPr>
        <w:tabs>
          <w:tab w:val="num" w:pos="5760"/>
        </w:tabs>
        <w:ind w:left="5760" w:hanging="360"/>
      </w:pPr>
      <w:rPr>
        <w:rFonts w:ascii="Symbol" w:hAnsi="Symbol" w:hint="default"/>
      </w:rPr>
    </w:lvl>
    <w:lvl w:ilvl="8" w:tplc="256C296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1"/>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A4"/>
    <w:rsid w:val="00023414"/>
    <w:rsid w:val="000C1347"/>
    <w:rsid w:val="000E6E5C"/>
    <w:rsid w:val="001D34C1"/>
    <w:rsid w:val="00232460"/>
    <w:rsid w:val="002460DA"/>
    <w:rsid w:val="002B29A9"/>
    <w:rsid w:val="00412BEE"/>
    <w:rsid w:val="00421C89"/>
    <w:rsid w:val="00460DF9"/>
    <w:rsid w:val="00481AFD"/>
    <w:rsid w:val="0049059A"/>
    <w:rsid w:val="004B2968"/>
    <w:rsid w:val="004B36EC"/>
    <w:rsid w:val="00531CA7"/>
    <w:rsid w:val="00532595"/>
    <w:rsid w:val="005D217D"/>
    <w:rsid w:val="00616A36"/>
    <w:rsid w:val="0061717D"/>
    <w:rsid w:val="0069397E"/>
    <w:rsid w:val="006F6941"/>
    <w:rsid w:val="00701D83"/>
    <w:rsid w:val="00770878"/>
    <w:rsid w:val="007D1E9E"/>
    <w:rsid w:val="008F092C"/>
    <w:rsid w:val="008F1654"/>
    <w:rsid w:val="00901B1E"/>
    <w:rsid w:val="009128E3"/>
    <w:rsid w:val="00966753"/>
    <w:rsid w:val="00992937"/>
    <w:rsid w:val="009940E2"/>
    <w:rsid w:val="009B2CB3"/>
    <w:rsid w:val="009F6488"/>
    <w:rsid w:val="00A34C5F"/>
    <w:rsid w:val="00A64449"/>
    <w:rsid w:val="00AF6CC0"/>
    <w:rsid w:val="00B2125F"/>
    <w:rsid w:val="00B2553F"/>
    <w:rsid w:val="00B25E9F"/>
    <w:rsid w:val="00B475A4"/>
    <w:rsid w:val="00C15005"/>
    <w:rsid w:val="00C155DE"/>
    <w:rsid w:val="00CA3ACA"/>
    <w:rsid w:val="00CA5DED"/>
    <w:rsid w:val="00CB56FB"/>
    <w:rsid w:val="00EC4503"/>
    <w:rsid w:val="00F57977"/>
    <w:rsid w:val="00F73B82"/>
    <w:rsid w:val="00FA0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F4CB"/>
  <w15:chartTrackingRefBased/>
  <w15:docId w15:val="{A82355DF-DAD8-4ADA-9B4D-101B7748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A4"/>
    <w:rPr>
      <w:color w:val="0000FF"/>
      <w:u w:val="single"/>
    </w:rPr>
  </w:style>
  <w:style w:type="paragraph" w:styleId="ListParagraph">
    <w:name w:val="List Paragraph"/>
    <w:basedOn w:val="Normal"/>
    <w:uiPriority w:val="34"/>
    <w:qFormat/>
    <w:rsid w:val="006F6941"/>
    <w:pPr>
      <w:ind w:left="720"/>
      <w:contextualSpacing/>
    </w:pPr>
  </w:style>
  <w:style w:type="paragraph" w:customStyle="1" w:styleId="hindent1">
    <w:name w:val="hindent1"/>
    <w:basedOn w:val="Normal"/>
    <w:rsid w:val="000C13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ndent2">
    <w:name w:val="hindent2"/>
    <w:basedOn w:val="Normal"/>
    <w:rsid w:val="000C13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noindent">
    <w:name w:val="bodynoindent"/>
    <w:basedOn w:val="Normal"/>
    <w:rsid w:val="000C13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DF9"/>
    <w:rPr>
      <w:color w:val="808080"/>
    </w:rPr>
  </w:style>
  <w:style w:type="paragraph" w:customStyle="1" w:styleId="Style">
    <w:name w:val="Style"/>
    <w:rsid w:val="00460DF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16A36"/>
    <w:rPr>
      <w:sz w:val="16"/>
      <w:szCs w:val="16"/>
    </w:rPr>
  </w:style>
  <w:style w:type="paragraph" w:styleId="CommentText">
    <w:name w:val="annotation text"/>
    <w:basedOn w:val="Normal"/>
    <w:link w:val="CommentTextChar"/>
    <w:uiPriority w:val="99"/>
    <w:unhideWhenUsed/>
    <w:rsid w:val="00616A36"/>
    <w:pPr>
      <w:spacing w:line="240" w:lineRule="auto"/>
    </w:pPr>
    <w:rPr>
      <w:sz w:val="20"/>
      <w:szCs w:val="20"/>
    </w:rPr>
  </w:style>
  <w:style w:type="character" w:customStyle="1" w:styleId="CommentTextChar">
    <w:name w:val="Comment Text Char"/>
    <w:basedOn w:val="DefaultParagraphFont"/>
    <w:link w:val="CommentText"/>
    <w:uiPriority w:val="99"/>
    <w:rsid w:val="00616A36"/>
    <w:rPr>
      <w:sz w:val="20"/>
      <w:szCs w:val="20"/>
    </w:rPr>
  </w:style>
  <w:style w:type="paragraph" w:styleId="CommentSubject">
    <w:name w:val="annotation subject"/>
    <w:basedOn w:val="CommentText"/>
    <w:next w:val="CommentText"/>
    <w:link w:val="CommentSubjectChar"/>
    <w:uiPriority w:val="99"/>
    <w:semiHidden/>
    <w:unhideWhenUsed/>
    <w:rsid w:val="00616A36"/>
    <w:rPr>
      <w:b/>
      <w:bCs/>
    </w:rPr>
  </w:style>
  <w:style w:type="character" w:customStyle="1" w:styleId="CommentSubjectChar">
    <w:name w:val="Comment Subject Char"/>
    <w:basedOn w:val="CommentTextChar"/>
    <w:link w:val="CommentSubject"/>
    <w:uiPriority w:val="99"/>
    <w:semiHidden/>
    <w:rsid w:val="00616A36"/>
    <w:rPr>
      <w:b/>
      <w:bCs/>
      <w:sz w:val="20"/>
      <w:szCs w:val="20"/>
    </w:rPr>
  </w:style>
  <w:style w:type="paragraph" w:styleId="BalloonText">
    <w:name w:val="Balloon Text"/>
    <w:basedOn w:val="Normal"/>
    <w:link w:val="BalloonTextChar"/>
    <w:uiPriority w:val="99"/>
    <w:semiHidden/>
    <w:unhideWhenUsed/>
    <w:rsid w:val="00616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36"/>
    <w:rPr>
      <w:rFonts w:ascii="Segoe UI" w:hAnsi="Segoe UI" w:cs="Segoe UI"/>
      <w:sz w:val="18"/>
      <w:szCs w:val="18"/>
    </w:rPr>
  </w:style>
  <w:style w:type="character" w:styleId="UnresolvedMention">
    <w:name w:val="Unresolved Mention"/>
    <w:basedOn w:val="DefaultParagraphFont"/>
    <w:uiPriority w:val="99"/>
    <w:semiHidden/>
    <w:unhideWhenUsed/>
    <w:rsid w:val="00B25E9F"/>
    <w:rPr>
      <w:color w:val="605E5C"/>
      <w:shd w:val="clear" w:color="auto" w:fill="E1DFDD"/>
    </w:rPr>
  </w:style>
  <w:style w:type="paragraph" w:styleId="Header">
    <w:name w:val="header"/>
    <w:basedOn w:val="Normal"/>
    <w:link w:val="HeaderChar"/>
    <w:uiPriority w:val="99"/>
    <w:unhideWhenUsed/>
    <w:rsid w:val="00246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DA"/>
  </w:style>
  <w:style w:type="paragraph" w:styleId="Footer">
    <w:name w:val="footer"/>
    <w:basedOn w:val="Normal"/>
    <w:link w:val="FooterChar"/>
    <w:uiPriority w:val="99"/>
    <w:unhideWhenUsed/>
    <w:rsid w:val="00246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3311">
      <w:bodyDiv w:val="1"/>
      <w:marLeft w:val="0"/>
      <w:marRight w:val="0"/>
      <w:marTop w:val="0"/>
      <w:marBottom w:val="0"/>
      <w:divBdr>
        <w:top w:val="none" w:sz="0" w:space="0" w:color="auto"/>
        <w:left w:val="none" w:sz="0" w:space="0" w:color="auto"/>
        <w:bottom w:val="none" w:sz="0" w:space="0" w:color="auto"/>
        <w:right w:val="none" w:sz="0" w:space="0" w:color="auto"/>
      </w:divBdr>
      <w:divsChild>
        <w:div w:id="20328131">
          <w:marLeft w:val="0"/>
          <w:marRight w:val="0"/>
          <w:marTop w:val="45"/>
          <w:marBottom w:val="45"/>
          <w:divBdr>
            <w:top w:val="none" w:sz="0" w:space="0" w:color="auto"/>
            <w:left w:val="none" w:sz="0" w:space="0" w:color="auto"/>
            <w:bottom w:val="none" w:sz="0" w:space="0" w:color="auto"/>
            <w:right w:val="none" w:sz="0" w:space="0" w:color="auto"/>
          </w:divBdr>
        </w:div>
        <w:div w:id="49690442">
          <w:marLeft w:val="0"/>
          <w:marRight w:val="0"/>
          <w:marTop w:val="45"/>
          <w:marBottom w:val="45"/>
          <w:divBdr>
            <w:top w:val="none" w:sz="0" w:space="0" w:color="auto"/>
            <w:left w:val="none" w:sz="0" w:space="0" w:color="auto"/>
            <w:bottom w:val="none" w:sz="0" w:space="0" w:color="auto"/>
            <w:right w:val="none" w:sz="0" w:space="0" w:color="auto"/>
          </w:divBdr>
        </w:div>
      </w:divsChild>
    </w:div>
    <w:div w:id="8156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to@ivpath.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etmd.com/blogs/dailyvet/2010/february/pet_necropsy-5413" TargetMode="External"/><Relationship Id="rId4" Type="http://schemas.openxmlformats.org/officeDocument/2006/relationships/webSettings" Target="webSettings.xml"/><Relationship Id="rId9" Type="http://schemas.openxmlformats.org/officeDocument/2006/relationships/hyperlink" Target="https://www.business.qld.gov.au/industries/farms-fishing-forestry/agriculture/land-management/health-pests-weeds-diseases/biosecurity-sciences-la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Emily Jones</cp:lastModifiedBy>
  <cp:revision>9</cp:revision>
  <dcterms:created xsi:type="dcterms:W3CDTF">2021-12-08T04:23:00Z</dcterms:created>
  <dcterms:modified xsi:type="dcterms:W3CDTF">2022-01-11T05:47:00Z</dcterms:modified>
</cp:coreProperties>
</file>